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6604" w14:textId="0653BAEE" w:rsidR="004F3F1A" w:rsidRPr="00283DB9" w:rsidRDefault="00283DB9">
      <w:pPr>
        <w:rPr>
          <w:lang w:val="en-US"/>
        </w:rPr>
      </w:pPr>
      <w:r>
        <w:rPr>
          <w:lang w:val="en-US"/>
        </w:rPr>
        <w:t>Family matters</w:t>
      </w:r>
    </w:p>
    <w:sectPr w:rsidR="004F3F1A" w:rsidRPr="00283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B9"/>
    <w:rsid w:val="00283DB9"/>
    <w:rsid w:val="004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A786"/>
  <w15:chartTrackingRefBased/>
  <w15:docId w15:val="{6C33A851-F0D0-4815-BBDE-59CDD18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Publication</dc:creator>
  <cp:keywords/>
  <dc:description/>
  <cp:lastModifiedBy>Technical Publication</cp:lastModifiedBy>
  <cp:revision>1</cp:revision>
  <dcterms:created xsi:type="dcterms:W3CDTF">2021-07-06T01:25:00Z</dcterms:created>
  <dcterms:modified xsi:type="dcterms:W3CDTF">2021-07-06T01:36:00Z</dcterms:modified>
</cp:coreProperties>
</file>